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4883E" w14:textId="77777777" w:rsidR="00315078" w:rsidRPr="00315078" w:rsidRDefault="00315078" w:rsidP="00315078">
      <w:pPr>
        <w:shd w:val="clear" w:color="auto" w:fill="FFFFFF"/>
        <w:spacing w:after="0" w:line="240" w:lineRule="auto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</w:pPr>
      <w:r w:rsidRPr="00315078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  <w:t>Goldman Sachs revoit ses prévisions concernant le cobalt, le nickel et le lithium à la baisse pour 2024 et 2025</w:t>
      </w:r>
    </w:p>
    <w:p w14:paraId="495FE7BC" w14:textId="77777777" w:rsidR="00315078" w:rsidRDefault="00315078" w:rsidP="00315078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3E001F"/>
          <w:kern w:val="0"/>
          <w:sz w:val="30"/>
          <w:szCs w:val="30"/>
          <w:lang w:eastAsia="fr-BE"/>
          <w14:ligatures w14:val="none"/>
        </w:rPr>
      </w:pPr>
    </w:p>
    <w:p w14:paraId="099E4B73" w14:textId="5FD3548F" w:rsidR="00315078" w:rsidRPr="00315078" w:rsidRDefault="00315078" w:rsidP="00315078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315078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La banque d’affaires américaine Goldman Sachs a revu à la baisse ses projections de cours à 12 mois concernant le </w:t>
      </w:r>
      <w:r w:rsidRPr="00315078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cobalt</w:t>
      </w:r>
      <w:r w:rsidRPr="00315078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, le </w:t>
      </w:r>
      <w:r w:rsidRPr="00315078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nickel</w:t>
      </w:r>
      <w:r w:rsidRPr="00315078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et le </w:t>
      </w:r>
      <w:r w:rsidRPr="00315078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lithium</w:t>
      </w:r>
      <w:r w:rsidRPr="00315078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, respectivement, de 12% à 26.000 $/t (contre 28.000 $/t précédemment), 15% à 15.000 $/t (contre 17.250 $/t) et 25% à 10.000 $/t (contre 11.000 $/t).</w:t>
      </w:r>
    </w:p>
    <w:p w14:paraId="18C12A5C" w14:textId="77777777" w:rsidR="00315078" w:rsidRPr="00315078" w:rsidRDefault="00315078" w:rsidP="00315078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315078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</w:t>
      </w:r>
    </w:p>
    <w:p w14:paraId="4582CC03" w14:textId="77777777" w:rsidR="00315078" w:rsidRPr="00315078" w:rsidRDefault="00315078" w:rsidP="00315078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315078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Elle prévient que « </w:t>
      </w:r>
      <w:r w:rsidRPr="00315078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les récentes opérations de couverture effectuées sur les positions courtes impliquant le nickel et le lithium ne doivent pas être interprétées comme le signe de la fin du cycle baissier</w:t>
      </w:r>
      <w:r w:rsidRPr="00315078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. »</w:t>
      </w:r>
    </w:p>
    <w:p w14:paraId="45D95898" w14:textId="77777777" w:rsidR="00315078" w:rsidRPr="00315078" w:rsidRDefault="00315078" w:rsidP="00315078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315078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Les flux d’approvisionnement conséquents, combinés à la faiblesse de la demande en lien avec le contexte géopolitique en Occident, signifient que le </w:t>
      </w:r>
      <w:r w:rsidRPr="00315078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nickel</w:t>
      </w:r>
      <w:r w:rsidRPr="00315078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et le </w:t>
      </w:r>
      <w:r w:rsidRPr="00315078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lithium</w:t>
      </w:r>
      <w:r w:rsidRPr="00315078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conserveront des excédents significatifs en 2024. Il serait de 150.000 tonnes pour le </w:t>
      </w:r>
      <w:r w:rsidRPr="00315078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lithium</w:t>
      </w:r>
      <w:r w:rsidRPr="00315078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, ce qui représenterait 11% de la consommation mondiale – contre une précédente prévision de 202.000 tonnes. Pour 2025, la banque prévoit un excédent de 336.000 tonnes, un volume révisé à la hausse par rapport à celui de </w:t>
      </w:r>
      <w:proofErr w:type="gramStart"/>
      <w:r w:rsidRPr="00315078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288.000 tonnes préalablement annoncé</w:t>
      </w:r>
      <w:proofErr w:type="gramEnd"/>
      <w:r w:rsidRPr="00315078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. L’excédent s’établirait à 224.000 tonnes pour le </w:t>
      </w:r>
      <w:r w:rsidRPr="00315078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nickel</w:t>
      </w:r>
      <w:r w:rsidRPr="00315078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, soit 6% de la consommation mondiale. S’agissant du </w:t>
      </w:r>
      <w:r w:rsidRPr="00315078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carbonate de lithium</w:t>
      </w:r>
      <w:r w:rsidRPr="00315078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chinois, elle table sur un cours à 11.100 $/t en 2024, contre 13.376 $/t précédemment. La projection à 12 mois est, elle, ramenée à 10.000 $/t, contre 11.000 $/t précédemment.</w:t>
      </w:r>
    </w:p>
    <w:p w14:paraId="3E28A054" w14:textId="77777777" w:rsidR="00315078" w:rsidRPr="00315078" w:rsidRDefault="00315078" w:rsidP="00315078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315078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La banque maintient sa prévision d’excédent du marché pour le </w:t>
      </w:r>
      <w:r w:rsidRPr="00315078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cobalt</w:t>
      </w:r>
      <w:r w:rsidRPr="00315078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en 2024 à 15.000 tonnes (soit 7% de la consommation mondiale). L’excédent augmentera en revanche en 2025, à 22.000 tonnes (9% de la consommation mondiale). Goldman Sachs a, concernant le cours du métal mineur, abaissé sa prévision pour 2024 à 27.500 $/t, contre 30.000 $/t précédemment. Pour 2025, elle le voit désormais à 25.000 $/t, contre 30.000 $/t auparavant.</w:t>
      </w:r>
    </w:p>
    <w:p w14:paraId="7F0A3E9E" w14:textId="77777777" w:rsidR="00287462" w:rsidRDefault="00287462"/>
    <w:sectPr w:rsidR="00287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078"/>
    <w:rsid w:val="00287462"/>
    <w:rsid w:val="0031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70DAB"/>
  <w15:chartTrackingRefBased/>
  <w15:docId w15:val="{088CE692-A831-485A-A756-2E66638B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15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15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150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15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150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15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15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15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15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50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150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150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1507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1507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1507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1507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1507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1507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15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15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15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150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15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1507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1507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1507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15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1507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150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0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2024-03-11T08:06:00Z</dcterms:created>
  <dcterms:modified xsi:type="dcterms:W3CDTF">2024-03-11T08:06:00Z</dcterms:modified>
</cp:coreProperties>
</file>